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F0" w:rsidRDefault="00B833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33F0" w:rsidRDefault="00B833F0">
      <w:pPr>
        <w:pStyle w:val="ConsPlusNormal"/>
        <w:jc w:val="both"/>
        <w:outlineLvl w:val="0"/>
      </w:pPr>
    </w:p>
    <w:p w:rsidR="00B833F0" w:rsidRDefault="00B833F0">
      <w:pPr>
        <w:pStyle w:val="ConsPlusNormal"/>
        <w:outlineLvl w:val="0"/>
      </w:pPr>
      <w:r>
        <w:t>Зарегистрировано в Минюсте России 23 октября 2014 г. N 34414</w:t>
      </w:r>
    </w:p>
    <w:p w:rsidR="00B833F0" w:rsidRDefault="00B833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833F0" w:rsidRDefault="00B833F0">
      <w:pPr>
        <w:pStyle w:val="ConsPlusTitle"/>
        <w:jc w:val="center"/>
      </w:pPr>
    </w:p>
    <w:p w:rsidR="00B833F0" w:rsidRDefault="00B833F0">
      <w:pPr>
        <w:pStyle w:val="ConsPlusTitle"/>
        <w:jc w:val="center"/>
      </w:pPr>
      <w:r>
        <w:t>ПРИКАЗ</w:t>
      </w:r>
    </w:p>
    <w:p w:rsidR="00B833F0" w:rsidRDefault="00B833F0">
      <w:pPr>
        <w:pStyle w:val="ConsPlusTitle"/>
        <w:jc w:val="center"/>
      </w:pPr>
      <w:r>
        <w:t>от 26 августа 2014 г. N 1117</w:t>
      </w:r>
    </w:p>
    <w:p w:rsidR="00B833F0" w:rsidRDefault="00B833F0">
      <w:pPr>
        <w:pStyle w:val="ConsPlusTitle"/>
        <w:jc w:val="center"/>
      </w:pPr>
    </w:p>
    <w:p w:rsidR="00B833F0" w:rsidRDefault="00B833F0">
      <w:pPr>
        <w:pStyle w:val="ConsPlusTitle"/>
        <w:jc w:val="center"/>
      </w:pPr>
      <w:r>
        <w:t>ОБ УТВЕРЖДЕНИИ</w:t>
      </w:r>
    </w:p>
    <w:p w:rsidR="00B833F0" w:rsidRDefault="00B833F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833F0" w:rsidRDefault="00B833F0">
      <w:pPr>
        <w:pStyle w:val="ConsPlusTitle"/>
        <w:jc w:val="center"/>
      </w:pPr>
      <w:r>
        <w:t>ВЫСШЕГО ОБРАЗОВАНИЯ ПО СПЕЦИАЛЬНОСТИ 31.08.74 СТОМАТОЛОГИЯ</w:t>
      </w:r>
    </w:p>
    <w:p w:rsidR="00B833F0" w:rsidRDefault="00B833F0">
      <w:pPr>
        <w:pStyle w:val="ConsPlusTitle"/>
        <w:jc w:val="center"/>
      </w:pPr>
      <w:proofErr w:type="gramStart"/>
      <w:r>
        <w:t>ХИРУРГИЧЕСКАЯ (УРОВЕНЬ ПОДГОТОВКИ КАДРОВ</w:t>
      </w:r>
      <w:proofErr w:type="gramEnd"/>
    </w:p>
    <w:p w:rsidR="00B833F0" w:rsidRDefault="00B833F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proofErr w:type="gramStart"/>
      <w:r>
        <w:t>В соответствии с подпунктом 5.2.42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31.08.74 Стоматология хирургическая (уровень подготовки кадров высшей квалификации).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right"/>
      </w:pPr>
      <w:r>
        <w:t>Министр</w:t>
      </w:r>
    </w:p>
    <w:p w:rsidR="00B833F0" w:rsidRDefault="00B833F0">
      <w:pPr>
        <w:pStyle w:val="ConsPlusNormal"/>
        <w:jc w:val="right"/>
      </w:pPr>
      <w:r>
        <w:t>Д.В.ЛИВАНОВ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right"/>
        <w:outlineLvl w:val="0"/>
      </w:pPr>
      <w:r>
        <w:t>Приложение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right"/>
      </w:pPr>
      <w:r>
        <w:t>Утвержден</w:t>
      </w:r>
    </w:p>
    <w:p w:rsidR="00B833F0" w:rsidRDefault="00B833F0">
      <w:pPr>
        <w:pStyle w:val="ConsPlusNormal"/>
        <w:jc w:val="right"/>
      </w:pPr>
      <w:r>
        <w:t>приказом Министерства образования</w:t>
      </w:r>
    </w:p>
    <w:p w:rsidR="00B833F0" w:rsidRDefault="00B833F0">
      <w:pPr>
        <w:pStyle w:val="ConsPlusNormal"/>
        <w:jc w:val="right"/>
      </w:pPr>
      <w:r>
        <w:t>и науки Российской Федерации</w:t>
      </w:r>
    </w:p>
    <w:p w:rsidR="00B833F0" w:rsidRDefault="00B833F0">
      <w:pPr>
        <w:pStyle w:val="ConsPlusNormal"/>
        <w:jc w:val="right"/>
      </w:pPr>
      <w:r>
        <w:t>от 26 августа 2014 г. N 1117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B833F0" w:rsidRDefault="00B833F0">
      <w:pPr>
        <w:pStyle w:val="ConsPlusTitle"/>
        <w:jc w:val="center"/>
      </w:pPr>
      <w:r>
        <w:t>ВЫСШЕГО ОБРАЗОВАНИЯ</w:t>
      </w:r>
    </w:p>
    <w:p w:rsidR="00B833F0" w:rsidRDefault="00B833F0">
      <w:pPr>
        <w:pStyle w:val="ConsPlusTitle"/>
        <w:jc w:val="center"/>
      </w:pPr>
    </w:p>
    <w:p w:rsidR="00B833F0" w:rsidRDefault="00B833F0">
      <w:pPr>
        <w:pStyle w:val="ConsPlusTitle"/>
        <w:jc w:val="center"/>
      </w:pPr>
      <w:r>
        <w:t>УРОВЕНЬ ВЫСШЕГО ОБРАЗОВАНИЯ</w:t>
      </w:r>
    </w:p>
    <w:p w:rsidR="00B833F0" w:rsidRDefault="00B833F0">
      <w:pPr>
        <w:pStyle w:val="ConsPlusTitle"/>
        <w:jc w:val="center"/>
      </w:pPr>
      <w:r>
        <w:t>ПОДГОТОВКА КАДРОВ ВЫСШЕЙ КВАЛИФИКАЦИИ</w:t>
      </w:r>
    </w:p>
    <w:p w:rsidR="00B833F0" w:rsidRDefault="00B833F0">
      <w:pPr>
        <w:pStyle w:val="ConsPlusTitle"/>
        <w:jc w:val="center"/>
      </w:pPr>
    </w:p>
    <w:p w:rsidR="00B833F0" w:rsidRDefault="00B833F0">
      <w:pPr>
        <w:pStyle w:val="ConsPlusTitle"/>
        <w:jc w:val="center"/>
      </w:pPr>
      <w:r>
        <w:t>СПЕЦИАЛЬНОСТЬ</w:t>
      </w:r>
    </w:p>
    <w:p w:rsidR="00B833F0" w:rsidRDefault="00B833F0">
      <w:pPr>
        <w:pStyle w:val="ConsPlusTitle"/>
        <w:jc w:val="center"/>
      </w:pPr>
      <w:r>
        <w:t>31.08.74 СТОМАТОЛОГИЯ ХИРУРГИЧЕСКАЯ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I. ОБЛАСТЬ ПРИМЕНЕНИЯ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кадров высшей квалификации в ординатуре по специальности 31.08.74 Стоматология хирургическая (далее соответственно - программа ординатуры, специальность).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II. ИСПОЛЬЗУЕМЫЕ СОКРАЩЕНИЯ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lastRenderedPageBreak/>
        <w:t>В настоящем федеральном государственном образовательном стандарте используются следующие сокращения: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УК - универсальные компетенции;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ПК - профессиональные компетенции;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III. ХАРАКТЕРИСТИКА СПЕЦИАЛЬНОСТИ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3.1. Получение образования по программе ординатуры допускается только в организации, осуществляющей образовательную деятельность (далее - организация).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Обучение по программе</w:t>
      </w:r>
      <w:proofErr w:type="gramEnd"/>
      <w:r>
        <w:t xml:space="preserve"> ординатуры в организациях осуществляется в очной форме обучения.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Объем программы ординатуры составляет 120 зачетных единиц (далее - з.е.),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3.3. Срок получения образования по программе ординатуры: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года. Объем программы ординатуры в очной форме обучения, реализуемый за один учебный год, составляет 60 з.е.;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</w:t>
      </w:r>
      <w:proofErr w:type="gramEnd"/>
      <w:r>
        <w:t xml:space="preserve"> Объем программы ординатуры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з.е.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3.4.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обучающихся, осуществляемой 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</w:t>
      </w:r>
      <w:proofErr w:type="gramStart"/>
      <w:r>
        <w:t>подготовки</w:t>
      </w:r>
      <w:proofErr w:type="gramEnd"/>
      <w:r>
        <w:t xml:space="preserve"> обучающихся по профессиональным образовательным программам медицинского образования, фармацевтического образования, утвержденным приказом Министерства здравоохранения Российской Федерации от 3 сентября 2013 г. N 620н (зарегистрирован Министерством юстиции Российской Федерации 1 ноября 2013 г., регистрационный </w:t>
      </w:r>
      <w:proofErr w:type="gramStart"/>
      <w:r>
        <w:t>N 30304), а также государственной итоговой аттестации.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3.5. Реализация программы ординатуры возможна с использованием сетевой формы.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3.6. Образовательная деятельность по программе ординатуры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B833F0" w:rsidRDefault="00B833F0">
      <w:pPr>
        <w:pStyle w:val="ConsPlusNormal"/>
        <w:jc w:val="center"/>
      </w:pPr>
      <w:r>
        <w:t>ВЫПУСКНИКОВ, ОСВОИВШИХ ПРОГРАММУ ОРДИНАТУРЫ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стоматологической помощи в соответствии с установленными </w:t>
      </w:r>
      <w:r>
        <w:lastRenderedPageBreak/>
        <w:t>требованиями и стандартами в сфере здравоохранения.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4.2. Объектами профессиональной деятельности выпускников, освоивших программу ординатуры, являются: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физические лица (пациенты) в возрасте от 0 до 15 лет, от 15 до 18 лет и в возрасте старше 18 лет;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население;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ординатуры: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профилактическая;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диагностическая;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лечебная;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реабилитационная;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психолого-педагогическая;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организационно-управленческая.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Программа ординатуры включает в себя все виды профессиональной деятельности, к которым готовится ординатор.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4.4. Выпускник, освоивший программу ординатуры, готов решать следующие профессиональные задачи: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профилактическая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участие в проведении профилактических медицинских осмотров, диспансеризации, диспансерного наблюдения;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проведение сбора и медико-статистического анализа информации о показателях стоматологической заболеваемости различных возрастно-половых групп и ее влияния на состояние их здоровья;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диагностическая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диагностика стоматологических заболеваний и патологических состояний пациентов;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проведение экспертизы временной нетрудоспособности и участие в иных видах медицинской экспертизы;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лечебная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оказание хирургической стоматологической помощи пациентам;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участие в оказании медицинской помощи при чрезвычайных ситуациях, в том числе участие в медицинской эвакуации;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реабилитационная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проведение медицинской реабилитации и санаторно-курортного лечения пациентов со стоматологическими заболеваниями;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психолого-педагогическая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lastRenderedPageBreak/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организационно-управленческая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ведение учетно-отчетной документации в медицинских организациях и ее структурных подразделениях;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организация проведения медицинской экспертизы;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участие в организации оценки качества оказания стоматологической помощи пациентам;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соблюдение основных требований информационной безопасности.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V. ТРЕБОВАНИЯ К РЕЗУЛЬТАТАМ ОСВОЕНИЯ ПРОГРАММЫ ОРДИНАТУРЫ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5.1.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5.2. Выпускник, освоивший программу ординатуры, должен обладать следующими универсальными компетенциями: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готовностью к абстрактному мышлению, анализу, синтезу (УК-1);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&lt;1&gt;.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8">
        <w:r>
          <w:rPr>
            <w:color w:val="0000FF"/>
          </w:rPr>
          <w:t>Части 13</w:t>
        </w:r>
      </w:hyperlink>
      <w:r>
        <w:t xml:space="preserve"> и </w:t>
      </w:r>
      <w:hyperlink r:id="rId9">
        <w:r>
          <w:rPr>
            <w:color w:val="0000FF"/>
          </w:rPr>
          <w:t>14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2930, ст. 2933; N 26, ст. 3388; N 30, ст. 4263).</w:t>
      </w:r>
      <w:proofErr w:type="gramEnd"/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5.3. Выпускник, освоивший программу ординатуры, должен обладать профессиональными компетенциями: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профилактическая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 (ПК-1);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lastRenderedPageBreak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 (ПК-4);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диагностическая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готовность к диагностике стоматологических заболеваний и неотложных состояний в соответствии с Международной статистической </w:t>
      </w:r>
      <w:hyperlink r:id="rId10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 (ПК-5);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проведению экспертизы временной нетрудоспособности и участие в иных видах медицинской экспертизы (ПК-6);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лечебная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определению тактики ведения, ведению и лечению пациентов, нуждающихся в хирургической стоматологической помощи (ПК-7);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реабилитационная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(ПК-9);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психолого-педагогическая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(ПК-10);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организационно-управленческая деятельность: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(ПК-11);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проведению оценки качества оказания стоматологической помощи с использованием основных медико-статистических показателей (ПК-12);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готовность к организации медицинской помощи при чрезвычайных ситуациях, в том числе медицинской эвакуации (ПК-13).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5.4.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5.5.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5.6. При разработке программы ординатуры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VI. ТРЕБОВАНИЯ К СТРУКТУРЕ ПРОГРАММЫ ОРДИНАТУРЫ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6.1. Структура программы ординатуры включает обязательную часть (базовую) и часть, формируемую участниками образовательных отношений (вариативную).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6.2. Программа ординатуры состоит из следующих блоков: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lastRenderedPageBreak/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Блок 2 "Практики", относящийся как к базовой части программы, так и к ее вариативной части.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 "Врач - стоматолог - хирург".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2"/>
      </w:pPr>
      <w:r>
        <w:t>Структура программы ординатуры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right"/>
      </w:pPr>
      <w:r>
        <w:t>Таблица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sectPr w:rsidR="00B833F0" w:rsidSect="00A73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4909"/>
        <w:gridCol w:w="3218"/>
      </w:tblGrid>
      <w:tr w:rsidR="00B833F0">
        <w:tc>
          <w:tcPr>
            <w:tcW w:w="6421" w:type="dxa"/>
            <w:gridSpan w:val="2"/>
          </w:tcPr>
          <w:p w:rsidR="00B833F0" w:rsidRDefault="00B833F0">
            <w:pPr>
              <w:pStyle w:val="ConsPlusNormal"/>
              <w:jc w:val="center"/>
            </w:pPr>
            <w:r>
              <w:lastRenderedPageBreak/>
              <w:t>Структура программы ординатуры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Объем программы ординатуры в з.е.</w:t>
            </w:r>
          </w:p>
        </w:tc>
      </w:tr>
      <w:tr w:rsidR="00B833F0">
        <w:tc>
          <w:tcPr>
            <w:tcW w:w="1512" w:type="dxa"/>
          </w:tcPr>
          <w:p w:rsidR="00B833F0" w:rsidRDefault="00B833F0">
            <w:pPr>
              <w:pStyle w:val="ConsPlusNormal"/>
            </w:pPr>
            <w:r>
              <w:t>Блок 1</w:t>
            </w: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42 - 48</w:t>
            </w:r>
          </w:p>
        </w:tc>
      </w:tr>
      <w:tr w:rsidR="00B833F0">
        <w:tc>
          <w:tcPr>
            <w:tcW w:w="1512" w:type="dxa"/>
            <w:vMerge w:val="restart"/>
          </w:tcPr>
          <w:p w:rsidR="00B833F0" w:rsidRDefault="00B833F0">
            <w:pPr>
              <w:pStyle w:val="ConsPlusNormal"/>
            </w:pP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Базовая часть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33 - 39</w:t>
            </w:r>
          </w:p>
        </w:tc>
      </w:tr>
      <w:tr w:rsidR="00B833F0">
        <w:tc>
          <w:tcPr>
            <w:tcW w:w="1512" w:type="dxa"/>
            <w:vMerge/>
          </w:tcPr>
          <w:p w:rsidR="00B833F0" w:rsidRDefault="00B833F0">
            <w:pPr>
              <w:pStyle w:val="ConsPlusNormal"/>
            </w:pP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6 - 12</w:t>
            </w:r>
          </w:p>
        </w:tc>
      </w:tr>
      <w:tr w:rsidR="00B833F0">
        <w:tc>
          <w:tcPr>
            <w:tcW w:w="1512" w:type="dxa"/>
            <w:vMerge w:val="restart"/>
          </w:tcPr>
          <w:p w:rsidR="00B833F0" w:rsidRDefault="00B833F0">
            <w:pPr>
              <w:pStyle w:val="ConsPlusNormal"/>
            </w:pPr>
            <w:r>
              <w:t>Блок 2</w:t>
            </w: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Практики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69 - 75</w:t>
            </w:r>
          </w:p>
        </w:tc>
      </w:tr>
      <w:tr w:rsidR="00B833F0">
        <w:tc>
          <w:tcPr>
            <w:tcW w:w="1512" w:type="dxa"/>
            <w:vMerge/>
          </w:tcPr>
          <w:p w:rsidR="00B833F0" w:rsidRDefault="00B833F0">
            <w:pPr>
              <w:pStyle w:val="ConsPlusNormal"/>
            </w:pP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Базовая часть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60 - 66</w:t>
            </w:r>
          </w:p>
        </w:tc>
      </w:tr>
      <w:tr w:rsidR="00B833F0">
        <w:tc>
          <w:tcPr>
            <w:tcW w:w="1512" w:type="dxa"/>
            <w:vMerge/>
          </w:tcPr>
          <w:p w:rsidR="00B833F0" w:rsidRDefault="00B833F0">
            <w:pPr>
              <w:pStyle w:val="ConsPlusNormal"/>
            </w:pP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6 - 12</w:t>
            </w:r>
          </w:p>
        </w:tc>
      </w:tr>
      <w:tr w:rsidR="00B833F0">
        <w:tc>
          <w:tcPr>
            <w:tcW w:w="1512" w:type="dxa"/>
            <w:vMerge w:val="restart"/>
          </w:tcPr>
          <w:p w:rsidR="00B833F0" w:rsidRDefault="00B833F0">
            <w:pPr>
              <w:pStyle w:val="ConsPlusNormal"/>
            </w:pPr>
            <w:r>
              <w:t>Блок 3</w:t>
            </w: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3</w:t>
            </w:r>
          </w:p>
        </w:tc>
      </w:tr>
      <w:tr w:rsidR="00B833F0">
        <w:tc>
          <w:tcPr>
            <w:tcW w:w="1512" w:type="dxa"/>
            <w:vMerge/>
          </w:tcPr>
          <w:p w:rsidR="00B833F0" w:rsidRDefault="00B833F0">
            <w:pPr>
              <w:pStyle w:val="ConsPlusNormal"/>
            </w:pPr>
          </w:p>
        </w:tc>
        <w:tc>
          <w:tcPr>
            <w:tcW w:w="4909" w:type="dxa"/>
          </w:tcPr>
          <w:p w:rsidR="00B833F0" w:rsidRDefault="00B833F0">
            <w:pPr>
              <w:pStyle w:val="ConsPlusNormal"/>
            </w:pPr>
            <w:r>
              <w:t>Базовая часть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3</w:t>
            </w:r>
          </w:p>
        </w:tc>
      </w:tr>
      <w:tr w:rsidR="00B833F0">
        <w:tc>
          <w:tcPr>
            <w:tcW w:w="6421" w:type="dxa"/>
            <w:gridSpan w:val="2"/>
          </w:tcPr>
          <w:p w:rsidR="00B833F0" w:rsidRDefault="00B833F0">
            <w:pPr>
              <w:pStyle w:val="ConsPlusNormal"/>
            </w:pPr>
            <w:r>
              <w:t>Объем программы ординатуры</w:t>
            </w:r>
          </w:p>
        </w:tc>
        <w:tc>
          <w:tcPr>
            <w:tcW w:w="3218" w:type="dxa"/>
          </w:tcPr>
          <w:p w:rsidR="00B833F0" w:rsidRDefault="00B833F0">
            <w:pPr>
              <w:pStyle w:val="ConsPlusNormal"/>
              <w:jc w:val="center"/>
            </w:pPr>
            <w:r>
              <w:t>120</w:t>
            </w:r>
          </w:p>
        </w:tc>
      </w:tr>
    </w:tbl>
    <w:p w:rsidR="00B833F0" w:rsidRDefault="00B833F0">
      <w:pPr>
        <w:pStyle w:val="ConsPlusNormal"/>
        <w:sectPr w:rsidR="00B833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ординатуры, являются обязательными для освоения обучающимся.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ординатуры,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>6.4.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"Дисциплины (модули)"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6.5. Дисциплины (модули), относящиеся к вариативной части программы ординатуры, и практики обеспечивают освоение выпускником профессиональных компетенций с учетом конкретного вида (видов) деятельности в различных медицинских организациях &lt;1&gt;.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После выбора обучающимся дисциплин (модулей) и практик вариативной части они становятся обязательными для освоения обучающимся.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>6.6. В Блок 2 "Практики" входит производственная (клиническая) практика.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Способы проведения производственной (клинической) практики: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стационарная;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выездная.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Практики могут проводиться в структурных подразделениях организации.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6.7. В Блок 3 "Государственная итоговая аттестация" входит подготовка к сдаче и сдача государственного экзамена.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6.8. При разработке программы ординатуры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"Дисциплины (модули)".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6.9. Количество часов, отведенных на занятия лекционного типа в целом по Блоку 1 "Дисциплины (модули)" должно составлять не более 10 процентов от общего количества часов аудиторных занятий, отведенных на реализацию данного Блока.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center"/>
        <w:outlineLvl w:val="1"/>
      </w:pPr>
      <w:r>
        <w:t>VII. ТРЕБОВАНИЯ К УСЛОВИЯМ РЕАЛИЗАЦИИ ПРОГРАММЫ ОРДИНАТУРЫ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</w:t>
      </w:r>
      <w:r>
        <w:lastRenderedPageBreak/>
        <w:t>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 xml:space="preserve">&lt;1&gt;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июля 2006 г. N 149-ФЗ "Об информация,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7.1.3.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7.1.4.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медицинским и фармацевтическим работникам, утвержденными Министерством здравоохранения Российской Федерации &lt;1&gt;, и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</w:t>
      </w:r>
      <w:proofErr w:type="gramEnd"/>
      <w:r>
        <w:t xml:space="preserve">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</w:t>
      </w:r>
      <w:proofErr w:type="gramEnd"/>
      <w:r>
        <w:t xml:space="preserve">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415н" (зарегистрирован Министерством юстиции Российской Федерации 18 апреля 2012 г., регистрационный N 23879).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7.2.1.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должна составлять не менее 70 процентов.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должна быть не менее 65 процентов.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программу ординатуры, должна быть не менее 10 процентов.</w:t>
      </w:r>
      <w:proofErr w:type="gramEnd"/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7.3.1.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деятельностью, индивидуально;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аудитории, оборудованные фантомной и симуляционной техникой, имитирующей медицинские манипуляции и вмешательства (модель черепа человека, карпульный инъектор для обучения методикам проведения анестезии в челюстно-лицевой области с расходными материалами (искусственные зубы, слюноотсосы, пылесосы, боры стоматологические, шприцы с материалом для пломбирования полостей); имитация CAD/CAM систем для изготовления зубных протезов, в том числе для воскового моделирования;</w:t>
      </w:r>
      <w:proofErr w:type="gramEnd"/>
      <w:r>
        <w:t xml:space="preserve"> фантом челюстно-лицевой области; </w:t>
      </w:r>
      <w:proofErr w:type="gramStart"/>
      <w:r>
        <w:t>наконечник</w:t>
      </w:r>
      <w:proofErr w:type="gramEnd"/>
      <w:r>
        <w:t xml:space="preserve">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</w:t>
      </w:r>
      <w:r>
        <w:lastRenderedPageBreak/>
        <w:t>индивидуально;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анатомический зал и (или) помещения, предусмотренные для работы с биологическими моделями;</w:t>
      </w:r>
    </w:p>
    <w:p w:rsidR="00B833F0" w:rsidRDefault="00B833F0">
      <w:pPr>
        <w:pStyle w:val="ConsPlusNormal"/>
        <w:spacing w:before="200"/>
        <w:ind w:firstLine="540"/>
        <w:jc w:val="both"/>
      </w:pPr>
      <w:proofErr w:type="gramStart"/>
      <w:r>
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или место рабочее универсальное врача-стоматолога;</w:t>
      </w:r>
      <w:proofErr w:type="gramEnd"/>
      <w:r>
        <w:t xml:space="preserve"> </w:t>
      </w:r>
      <w:proofErr w:type="gramStart"/>
      <w:r>
        <w:t>негатоскоп;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аквадистиллятор (медицинский), при отсутствии центральной стерилизационной; фотополимеризатор для композита (внутриротовой); камеры для хранения стерильных инструментов; машина упаковочная (аппарат для предстерилизационной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</w:t>
      </w:r>
      <w:proofErr w:type="gramEnd"/>
      <w:r>
        <w:t xml:space="preserve"> </w:t>
      </w:r>
      <w:proofErr w:type="gramStart"/>
      <w:r>
        <w:t>прибор и средства для очистки и смазки; стерилизатор стоматологический для мелкого инструментария гласперленовый; лампа (облучатель) бактерицидная для помещений; радиовизиограф или рентген дентальный; ортопантомограф; аппарат для диагностики жизнеспособности пульпы (электроодонтометр); аппарат для определения глубины корневого канала (апекслокатор), физиодеспенсор; прямой и угловой наконечник; эндоскоп для проведения операций на пазухах;</w:t>
      </w:r>
      <w:proofErr w:type="gramEnd"/>
      <w:r>
        <w:t xml:space="preserve"> </w:t>
      </w:r>
      <w:proofErr w:type="gramStart"/>
      <w:r>
        <w:t>набор хирургических инструментов для удаления зубов, остеопластики, направленной остеорегенерации, операций на мягких тканей; хирургический лазер; электроскальпель),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  <w:proofErr w:type="gramEnd"/>
    </w:p>
    <w:p w:rsidR="00B833F0" w:rsidRDefault="00B833F0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ординатуры.</w:t>
      </w:r>
    </w:p>
    <w:p w:rsidR="00B833F0" w:rsidRDefault="00B833F0">
      <w:pPr>
        <w:pStyle w:val="ConsPlusNormal"/>
        <w:spacing w:before="200"/>
        <w:ind w:firstLine="540"/>
        <w:jc w:val="both"/>
      </w:pPr>
      <w:r>
        <w:lastRenderedPageBreak/>
        <w:t xml:space="preserve">7.4.1. </w:t>
      </w:r>
      <w:proofErr w:type="gramStart"/>
      <w:r>
        <w:t xml:space="preserve">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с </w:t>
      </w:r>
      <w:hyperlink r:id="rId16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jc w:val="both"/>
      </w:pPr>
    </w:p>
    <w:p w:rsidR="00B833F0" w:rsidRDefault="00B833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CB6" w:rsidRDefault="00BE3CB6">
      <w:bookmarkStart w:id="1" w:name="_GoBack"/>
      <w:bookmarkEnd w:id="1"/>
    </w:p>
    <w:sectPr w:rsidR="00BE3CB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0"/>
    <w:rsid w:val="00B833F0"/>
    <w:rsid w:val="00B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33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33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95D51C0B55F43C7D12161B580D9C415CA3C286907CF227E4AAB4CAED1F0ED52F7E50F9DE5FA1326313C779CA6E68FB7A1B6A239CF236Ai3oBM" TargetMode="External"/><Relationship Id="rId13" Type="http://schemas.openxmlformats.org/officeDocument/2006/relationships/hyperlink" Target="consultantplus://offline/ref=0C295D51C0B55F43C7D12161B580D9C415CA36296501CF227E4AAB4CAED1F0ED40F7BD039CE7E41B2F246A26DAiFo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95D51C0B55F43C7D12161B580D9C410CD302A6606CF227E4AAB4CAED1F0ED52F7E50F9DE4FA1A26313C779CA6E68FB7A1B6A239CF236Ai3oBM" TargetMode="External"/><Relationship Id="rId12" Type="http://schemas.openxmlformats.org/officeDocument/2006/relationships/hyperlink" Target="consultantplus://offline/ref=0C295D51C0B55F43C7D12161B580D9C415CA362B6404CF227E4AAB4CAED1F0ED40F7BD039CE7E41B2F246A26DAiFo1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295D51C0B55F43C7D12161B580D9C410CD362A6100CF227E4AAB4CAED1F0ED52F7E50F9DE4FA1B2D313C779CA6E68FB7A1B6A239CF236Ai3o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295D51C0B55F43C7D12161B580D9C413C0332D6008CF227E4AAB4CAED1F0ED52F7E50F9DE4FA1E2D313C779CA6E68FB7A1B6A239CF236Ai3oBM" TargetMode="External"/><Relationship Id="rId11" Type="http://schemas.openxmlformats.org/officeDocument/2006/relationships/hyperlink" Target="consultantplus://offline/ref=0C295D51C0B55F43C7D12161B580D9C412CC3C2E6207CF227E4AAB4CAED1F0ED40F7BD039CE7E41B2F246A26DAiFo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C295D51C0B55F43C7D12161B580D9C410CA3C2C6404CF227E4AAB4CAED1F0ED40F7BD039CE7E41B2F246A26DAiFo1M" TargetMode="External"/><Relationship Id="rId10" Type="http://schemas.openxmlformats.org/officeDocument/2006/relationships/hyperlink" Target="consultantplus://offline/ref=0C295D51C0B55F43C7D12878B2E18C971CCF372A6809C57F7442F240ACD6FFB245E2AC5B90E5F9042E3A7624D8F1iEo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295D51C0B55F43C7D12161B580D9C415CA3C286907CF227E4AAB4CAED1F0ED52F7E50F9DE5FB1A2F313C779CA6E68FB7A1B6A239CF236Ai3oBM" TargetMode="External"/><Relationship Id="rId14" Type="http://schemas.openxmlformats.org/officeDocument/2006/relationships/hyperlink" Target="consultantplus://offline/ref=0C295D51C0B55F43C7D12161B580D9C410C9362F6006CF227E4AAB4CAED1F0ED52F7E50F9DE4FA1B2F313C779CA6E68FB7A1B6A239CF236Ai3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2022-10-13T12:40:00Z</dcterms:created>
  <dcterms:modified xsi:type="dcterms:W3CDTF">2022-10-13T12:41:00Z</dcterms:modified>
</cp:coreProperties>
</file>