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7" w:rsidRPr="00CE61D2" w:rsidRDefault="00B747E7" w:rsidP="00B271C8">
      <w:pPr>
        <w:ind w:firstLine="14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CE61D2">
        <w:rPr>
          <w:rStyle w:val="tlid-translation"/>
          <w:rFonts w:ascii="Times New Roman" w:hAnsi="Times New Roman" w:cs="Times New Roman"/>
          <w:b/>
          <w:sz w:val="32"/>
          <w:szCs w:val="24"/>
          <w:lang w:val="en-US"/>
        </w:rPr>
        <w:t>Everything</w:t>
      </w:r>
      <w:r w:rsidRPr="00A90232">
        <w:rPr>
          <w:rStyle w:val="tlid-translation"/>
          <w:rFonts w:ascii="Times New Roman" w:hAnsi="Times New Roman" w:cs="Times New Roman"/>
          <w:b/>
          <w:sz w:val="32"/>
          <w:szCs w:val="24"/>
          <w:lang w:val="en-US"/>
        </w:rPr>
        <w:t xml:space="preserve"> that a foreign applicant needs to know for admission to the </w:t>
      </w:r>
      <w:proofErr w:type="spellStart"/>
      <w:r w:rsidRPr="00CE61D2">
        <w:rPr>
          <w:rFonts w:ascii="Times New Roman" w:hAnsi="Times New Roman" w:cs="Times New Roman"/>
          <w:b/>
          <w:sz w:val="32"/>
          <w:szCs w:val="24"/>
          <w:lang w:val="en-US"/>
        </w:rPr>
        <w:t>Pyatigorsk</w:t>
      </w:r>
      <w:proofErr w:type="spellEnd"/>
      <w:r w:rsidRPr="00CE61D2">
        <w:rPr>
          <w:rFonts w:ascii="Times New Roman" w:hAnsi="Times New Roman" w:cs="Times New Roman"/>
          <w:b/>
          <w:sz w:val="32"/>
          <w:szCs w:val="24"/>
          <w:lang w:val="en-US"/>
        </w:rPr>
        <w:t xml:space="preserve"> Medical and Pharmaceutical Institute, branch of the Volgograd State Medical University.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b/>
          <w:i/>
          <w:sz w:val="28"/>
          <w:szCs w:val="24"/>
          <w:lang w:val="en-US"/>
        </w:rPr>
        <w:t>The most frequently asked questions of applicants and answers to them.</w:t>
      </w:r>
    </w:p>
    <w:p w:rsidR="00B747E7" w:rsidRPr="00CE61D2" w:rsidRDefault="00B747E7" w:rsidP="00B271C8">
      <w:pPr>
        <w:pStyle w:val="a3"/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</w:pPr>
      <w:r w:rsidRPr="00CE61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ADMISSION TO THE PMPHI.</w:t>
      </w: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1. Where c</w:t>
      </w:r>
      <w:r w:rsid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an I find information about </w:t>
      </w:r>
      <w:proofErr w:type="gramStart"/>
      <w:r w:rsidR="008F3F2A">
        <w:rPr>
          <w:rFonts w:ascii="Times New Roman" w:hAnsi="Times New Roman" w:cs="Times New Roman"/>
          <w:sz w:val="24"/>
          <w:szCs w:val="24"/>
          <w:lang w:val="en-US"/>
        </w:rPr>
        <w:t>PMPHI</w:t>
      </w:r>
      <w:r w:rsidR="008F3F2A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fields of study?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Information about the </w:t>
      </w:r>
      <w:r w:rsid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institute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is given on the website of the institute. For detailed </w:t>
      </w:r>
      <w:r w:rsidRPr="00CE61D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information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follow the link: </w:t>
      </w:r>
      <w:hyperlink r:id="rId5" w:history="1">
        <w:r w:rsidRPr="00CE61D2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https://www.pmedpharm.ru/sveden_eng/</w:t>
        </w:r>
      </w:hyperlink>
      <w:r w:rsidRPr="00CE61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A90232" w:rsidRPr="000451FB" w:rsidRDefault="00B747E7" w:rsidP="00B271C8">
      <w:pPr>
        <w:spacing w:after="120" w:line="240" w:lineRule="auto"/>
        <w:ind w:firstLine="142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2. How many years does the study </w:t>
      </w:r>
      <w:r w:rsidR="00A90232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B271C8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a certain specialty last? </w:t>
      </w:r>
    </w:p>
    <w:p w:rsidR="00B747E7" w:rsidRPr="00CE61D2" w:rsidRDefault="00A90232" w:rsidP="00B271C8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Our institute provides training in the following major specialties: “Dentistry”, “Pharmacy”, “General medicine”, “M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edical biochemistry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”</w:t>
      </w:r>
      <w:r w:rsidR="00B747E7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47E7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Duration of </w:t>
      </w:r>
      <w:r w:rsidR="00B271C8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studying</w:t>
      </w:r>
      <w:r w:rsidR="00B747E7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in the fields of dentistry and pharmacy is 5 years, general medicine and medical biochemistry take 6 years to be acquired.</w:t>
      </w:r>
    </w:p>
    <w:p w:rsidR="00B747E7" w:rsidRPr="00A90232" w:rsidRDefault="00B747E7" w:rsidP="00B271C8">
      <w:pPr>
        <w:spacing w:after="120" w:line="240" w:lineRule="auto"/>
        <w:ind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3. What is the deadline for payment for studies in the chosen specialty?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For applicants enrolling by individual contracts, </w:t>
      </w:r>
      <w:r w:rsidRPr="00CE61D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tuition fee is paid twice a year in the following periods</w:t>
      </w:r>
      <w:proofErr w:type="gramStart"/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the 1st semester - until September 1 of the current year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the 2nd semester - until February 1 of the next year.</w:t>
      </w:r>
    </w:p>
    <w:p w:rsidR="00B747E7" w:rsidRPr="00CE61D2" w:rsidRDefault="00B747E7" w:rsidP="00B271C8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 case if applicants admit with the help of an outsourcing company</w:t>
      </w:r>
      <w:r w:rsid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*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the terms of payment for studies must be clarified when signing a</w:t>
      </w:r>
      <w:r w:rsidRPr="00CE61D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n educational 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contract with </w:t>
      </w:r>
      <w:r w:rsid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32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intermediary company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B747E7" w:rsidRPr="000451FB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Is there an age limit for the admission to </w:t>
      </w:r>
      <w:r w:rsidR="008F3F2A" w:rsidRPr="000451FB">
        <w:rPr>
          <w:rFonts w:ascii="Times New Roman" w:hAnsi="Times New Roman" w:cs="Times New Roman"/>
          <w:b/>
          <w:sz w:val="24"/>
          <w:szCs w:val="24"/>
          <w:lang w:val="en-US"/>
        </w:rPr>
        <w:t>PMPHI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E61D2">
        <w:rPr>
          <w:rFonts w:ascii="Times New Roman" w:hAnsi="Times New Roman" w:cs="Times New Roman"/>
          <w:sz w:val="24"/>
          <w:szCs w:val="24"/>
          <w:lang w:val="en-US"/>
        </w:rPr>
        <w:t>There is no ag</w:t>
      </w:r>
      <w:r w:rsidR="008F3F2A">
        <w:rPr>
          <w:rFonts w:ascii="Times New Roman" w:hAnsi="Times New Roman" w:cs="Times New Roman"/>
          <w:sz w:val="24"/>
          <w:szCs w:val="24"/>
          <w:lang w:val="en-US"/>
        </w:rPr>
        <w:t>e limit for the admission to</w:t>
      </w:r>
      <w:r w:rsidRPr="00CE6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F2A">
        <w:rPr>
          <w:rFonts w:ascii="Times New Roman" w:hAnsi="Times New Roman" w:cs="Times New Roman"/>
          <w:sz w:val="24"/>
          <w:szCs w:val="24"/>
          <w:lang w:val="en-US"/>
        </w:rPr>
        <w:t>PMPHI</w:t>
      </w:r>
      <w:r w:rsidRPr="00CE6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Default="00B747E7" w:rsidP="00B271C8">
      <w:pPr>
        <w:pStyle w:val="a3"/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5. What are the rea</w:t>
      </w:r>
      <w:r w:rsidR="008F3F2A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sons for refusing admission to</w:t>
      </w:r>
      <w:r w:rsidR="008F3F2A" w:rsidRPr="00045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PMPHI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reason for refusing admission is not passing the entrance examinations, as well as the non-compliance of the set of documents with the requirements for admission.</w:t>
      </w:r>
      <w:r w:rsidR="008F3F2A" w:rsidRPr="008F3F2A">
        <w:rPr>
          <w:lang w:val="en-US"/>
        </w:rPr>
        <w:t xml:space="preserve"> </w:t>
      </w:r>
      <w:r w:rsidR="008F3F2A" w:rsidRP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For more information on admission, see chapter III, paragraph 1-2.</w:t>
      </w:r>
    </w:p>
    <w:p w:rsidR="008F3F2A" w:rsidRDefault="008F3F2A" w:rsidP="00B271C8">
      <w:pPr>
        <w:pStyle w:val="a3"/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</w:p>
    <w:p w:rsidR="008F3F2A" w:rsidRPr="00A90232" w:rsidRDefault="008F3F2A" w:rsidP="008F3F2A">
      <w:pPr>
        <w:pStyle w:val="a3"/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6. Will a Russian diploma be recognized and accepted in my home country?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As Russia is a participant in the Bologna process since 2003, graduates of Russian universities have the opportunity to confirm and recognize diplomas in the countries of the European community.</w:t>
      </w:r>
    </w:p>
    <w:p w:rsidR="008F3F2A" w:rsidRPr="00CE61D2" w:rsidRDefault="008F3F2A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CE61D2" w:rsidRDefault="00B747E7" w:rsidP="00B271C8">
      <w:pPr>
        <w:pStyle w:val="a3"/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E61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SUBMISSION AND PROCESSING OF DOCUMENTS.</w:t>
      </w:r>
    </w:p>
    <w:p w:rsidR="008F3F2A" w:rsidRPr="000451FB" w:rsidRDefault="00B747E7" w:rsidP="00B271C8">
      <w:pPr>
        <w:spacing w:after="120" w:line="240" w:lineRule="auto"/>
        <w:ind w:firstLine="142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1. What documents should be prepared for admission?</w:t>
      </w:r>
    </w:p>
    <w:p w:rsidR="00B72ABB" w:rsidRPr="00CE61D2" w:rsidRDefault="008F3F2A" w:rsidP="00B271C8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For admission to the institute an applicant need to </w:t>
      </w:r>
      <w:r w:rsidRP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prepare the following package of documents:</w:t>
      </w:r>
      <w:r w:rsidR="00B72ABB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national passport and its notarized translation</w:t>
      </w:r>
      <w:r w:rsidR="00B72ABB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a document on secondary education legalized in accordance with the established procedure (</w:t>
      </w:r>
      <w:r w:rsidR="00F32E3C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including</w:t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 appendix), as well as its notarized translation</w:t>
      </w:r>
      <w:r w:rsidR="00B72ABB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- 10 matte photos 3x4 cm in size</w:t>
      </w:r>
      <w:r w:rsidR="00B72ABB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- medical certificate of health status for applicants to universities (form 086/u), including the </w:t>
      </w:r>
      <w:r w:rsidR="00F32E3C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results of </w:t>
      </w:r>
      <w:proofErr w:type="spellStart"/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fluorograph</w:t>
      </w:r>
      <w:r w:rsidR="00F32E3C" w:rsidRPr="00CE61D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="00F32E3C" w:rsidRPr="00CE61D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examination</w:t>
      </w:r>
      <w:r w:rsidR="00B72ABB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certificate of absence of HIV infection</w:t>
      </w:r>
      <w:r w:rsidR="00B72ABB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vaccination certificate (All medical certificates must be translated into Russian)</w:t>
      </w:r>
      <w:r w:rsidR="00B72ABB"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certificate of recognition of foreign education in Russia by the Federal Service for Supervision </w:t>
      </w:r>
      <w:r w:rsidR="00F32E3C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</w:t>
      </w:r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Education and Science (</w:t>
      </w:r>
      <w:proofErr w:type="spellStart"/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Rosobrnadzor</w:t>
      </w:r>
      <w:proofErr w:type="spellEnd"/>
      <w:r w:rsidR="00B72ABB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)</w:t>
      </w: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A90232" w:rsidRDefault="00B747E7" w:rsidP="00B271C8">
      <w:pPr>
        <w:pStyle w:val="a3"/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2. How can I receive an invitation</w:t>
      </w:r>
      <w:r w:rsidR="008F3F2A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to study in </w:t>
      </w:r>
      <w:r w:rsidR="008F3F2A" w:rsidRPr="000451FB">
        <w:rPr>
          <w:rFonts w:ascii="Times New Roman" w:hAnsi="Times New Roman" w:cs="Times New Roman"/>
          <w:b/>
          <w:sz w:val="24"/>
          <w:szCs w:val="24"/>
          <w:lang w:val="en-US"/>
        </w:rPr>
        <w:t>PMPHI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? How long is the invitation valid?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An application for an invitation from the university is submitted through an intermediary firm according to the requirements provided by this firm. The invitation </w:t>
      </w:r>
      <w:r w:rsid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is a document </w:t>
      </w:r>
      <w:r w:rsidR="008F3F2A" w:rsidRP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confirming the admission of the applicant to the educational institution</w:t>
      </w:r>
      <w:r w:rsid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necessary for receiving a study visa. It 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is valid within 90 days from the date of issue.</w:t>
      </w:r>
    </w:p>
    <w:p w:rsidR="00B271C8" w:rsidRPr="00CE61D2" w:rsidRDefault="00B271C8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3. How is an application for a stud</w:t>
      </w:r>
      <w:r w:rsidR="008F3F2A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visa carried out?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Upon receiving an invitation from </w:t>
      </w:r>
      <w:r w:rsidR="008F3F2A">
        <w:rPr>
          <w:rFonts w:ascii="Times New Roman" w:hAnsi="Times New Roman" w:cs="Times New Roman"/>
          <w:sz w:val="24"/>
          <w:szCs w:val="24"/>
          <w:lang w:val="en-US"/>
        </w:rPr>
        <w:t>PMPHI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the applicant contacts the embassy of their home country for obtaining a single-entry study visa. </w:t>
      </w:r>
      <w:r w:rsidR="00B349AA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Later on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to extend the period of validity of the visa, the student should come to the international department of PMPHI.</w:t>
      </w:r>
    </w:p>
    <w:p w:rsidR="00B747E7" w:rsidRPr="00CE61D2" w:rsidRDefault="00B747E7" w:rsidP="00B271C8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4. What is the period of validity of a stud</w:t>
      </w:r>
      <w:r w:rsidR="008F3F2A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y 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visa?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 single-entry study visa is issued for a period from 1 to 3 months and cannot exceed the period of the invitation validity. A multiple-entry study visa is issued for one year and cannot exceed the period of the educational contract.</w:t>
      </w:r>
    </w:p>
    <w:p w:rsidR="00B747E7" w:rsidRPr="00A90232" w:rsidRDefault="00B747E7" w:rsidP="00B271C8">
      <w:pPr>
        <w:spacing w:after="120" w:line="240" w:lineRule="auto"/>
        <w:ind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5. How can I extend a study visa?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To extend a single or multiple study visa, it is necessary to provide a set of documents to the international department of the </w:t>
      </w:r>
      <w:proofErr w:type="spellStart"/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Pyatigorsk</w:t>
      </w:r>
      <w:proofErr w:type="spellEnd"/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1D2">
        <w:rPr>
          <w:rFonts w:ascii="Times New Roman" w:hAnsi="Times New Roman" w:cs="Times New Roman"/>
          <w:sz w:val="24"/>
          <w:szCs w:val="24"/>
          <w:lang w:val="en-US"/>
        </w:rPr>
        <w:t>Medical and Pharmaceutical Institute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at least 1 month in advance, namely</w:t>
      </w:r>
      <w:proofErr w:type="gramStart"/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- a passport 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a valid registration at the place of residence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a migration card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- a check on the payment of the state </w:t>
      </w:r>
      <w:r w:rsidR="00642E08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fee for 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visa extension 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- 1 matte photo</w:t>
      </w:r>
      <w:r w:rsidRPr="00A902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 completed application form with a set of documents is submitted to the migration department.</w:t>
      </w:r>
    </w:p>
    <w:p w:rsidR="00B271C8" w:rsidRPr="00CE61D2" w:rsidRDefault="00B271C8" w:rsidP="00B271C8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CE61D2" w:rsidRDefault="00B747E7" w:rsidP="00B271C8">
      <w:pPr>
        <w:pStyle w:val="a3"/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1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EDUCATIONAL CONDITIONS</w:t>
      </w:r>
    </w:p>
    <w:p w:rsidR="00B747E7" w:rsidRPr="000451FB" w:rsidRDefault="00B747E7" w:rsidP="00B271C8">
      <w:pPr>
        <w:pStyle w:val="a3"/>
        <w:numPr>
          <w:ilvl w:val="0"/>
          <w:numId w:val="9"/>
        </w:numPr>
        <w:spacing w:after="12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0451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Is there any scholarship available for foreign students?</w:t>
      </w:r>
    </w:p>
    <w:p w:rsidR="00B747E7" w:rsidRPr="00A90232" w:rsidRDefault="00B747E7" w:rsidP="00B271C8">
      <w:pPr>
        <w:pStyle w:val="a3"/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 scholarship is not provided for foreign students, they study at their own expense.</w:t>
      </w:r>
    </w:p>
    <w:p w:rsidR="00E055E5" w:rsidRPr="00CE61D2" w:rsidRDefault="00E055E5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A90232" w:rsidRDefault="00B747E7" w:rsidP="00B271C8">
      <w:pPr>
        <w:pStyle w:val="a3"/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1052B3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In what languages are students taught in the institute? 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26D4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PMPHI 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provides the opportunity to study in any of three languages: English, French or Russian.</w:t>
      </w:r>
      <w:r w:rsidR="001052B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English and French are called “</w:t>
      </w:r>
      <w:r w:rsidR="00426D4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</w:t>
      </w:r>
      <w:r w:rsidR="001052B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ntermediate languages”</w:t>
      </w:r>
    </w:p>
    <w:p w:rsidR="00E055E5" w:rsidRPr="00CE61D2" w:rsidRDefault="00E055E5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</w:p>
    <w:p w:rsidR="00E055E5" w:rsidRPr="00A90232" w:rsidRDefault="00B747E7" w:rsidP="00E055E5">
      <w:pPr>
        <w:pStyle w:val="a3"/>
        <w:numPr>
          <w:ilvl w:val="0"/>
          <w:numId w:val="11"/>
        </w:numPr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When do holidays in </w:t>
      </w:r>
      <w:r w:rsidR="00426D46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PMPHI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begin?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Depending on the specialty and the educational schedule, the dates of winter and summer holidays are set.</w:t>
      </w:r>
    </w:p>
    <w:p w:rsidR="00E055E5" w:rsidRPr="00A90232" w:rsidRDefault="00E055E5" w:rsidP="00E055E5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271C8" w:rsidRPr="00CE61D2" w:rsidRDefault="00B271C8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426D46" w:rsidRDefault="00B747E7" w:rsidP="00B271C8">
      <w:pPr>
        <w:pStyle w:val="a3"/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CE61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LIVING CONDITIONS</w:t>
      </w:r>
    </w:p>
    <w:p w:rsidR="00426D46" w:rsidRPr="00CE61D2" w:rsidRDefault="00426D46" w:rsidP="00426D46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u w:val="single"/>
        </w:rPr>
      </w:pPr>
    </w:p>
    <w:p w:rsidR="00B747E7" w:rsidRPr="00CE61D2" w:rsidRDefault="00B747E7" w:rsidP="000451FB">
      <w:pPr>
        <w:pStyle w:val="a3"/>
        <w:numPr>
          <w:ilvl w:val="0"/>
          <w:numId w:val="12"/>
        </w:numPr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Is a place in the student dormitory provided</w:t>
      </w:r>
      <w:r w:rsidR="00450FF1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for</w:t>
      </w:r>
      <w:r w:rsidR="00426D46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foreign</w:t>
      </w:r>
      <w:r w:rsidR="00450FF1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students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50FF1"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Students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can be resided in the dormitory for students or in hostels</w:t>
      </w:r>
      <w:r w:rsidR="00426D4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(private hotel)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located on the territory of the Caucasian Mineral Waters.</w:t>
      </w:r>
      <w:r w:rsidR="00426D4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Accommodation in private hostels is organized through an intermediary firm.</w:t>
      </w: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0451FB" w:rsidRDefault="00B747E7" w:rsidP="000451FB">
      <w:pPr>
        <w:pStyle w:val="a3"/>
        <w:numPr>
          <w:ilvl w:val="0"/>
          <w:numId w:val="12"/>
        </w:numPr>
        <w:spacing w:after="12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t>Is there a possibility to live in an apartment?</w:t>
      </w:r>
    </w:p>
    <w:p w:rsidR="00B747E7" w:rsidRPr="000451FB" w:rsidRDefault="00B747E7" w:rsidP="000451FB">
      <w:pPr>
        <w:pStyle w:val="a3"/>
        <w:numPr>
          <w:ilvl w:val="0"/>
          <w:numId w:val="12"/>
        </w:numPr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First-year students are recommended to live on the territory of </w:t>
      </w:r>
      <w:r w:rsidR="00426D46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university’s 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campus in order to adapt and integrate into a foreign language environment. Starting from the second year of stud</w:t>
      </w:r>
      <w:r w:rsidR="00426D46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y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students have the right to </w:t>
      </w:r>
      <w:r w:rsidR="00043462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live in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private apartments. In exceptional cases, for valid reasons, students can discuss the possibility of living in the private </w:t>
      </w:r>
      <w:r w:rsidR="00426D46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flats and houses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with the leadership of the </w:t>
      </w:r>
      <w:r w:rsidR="00426D46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institute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B747E7" w:rsidRPr="00CE61D2" w:rsidRDefault="00B747E7" w:rsidP="000451FB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0451FB" w:rsidRDefault="00B747E7" w:rsidP="000451FB">
      <w:pPr>
        <w:pStyle w:val="a3"/>
        <w:numPr>
          <w:ilvl w:val="0"/>
          <w:numId w:val="12"/>
        </w:numPr>
        <w:spacing w:after="12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Do I need to register at the place of residence? </w:t>
      </w:r>
      <w:r w:rsidR="00186633"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What is this</w:t>
      </w: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</w:rPr>
        <w:t>?</w:t>
      </w:r>
    </w:p>
    <w:p w:rsidR="00B747E7" w:rsidRPr="00CE61D2" w:rsidRDefault="00B747E7" w:rsidP="000451FB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Registration at the place of residence is obligatory for living on the territory of the Russian Federation. Without a registration at the place of residence, accommodation of a foreigner in any city of the Russian Federation is illegal.</w:t>
      </w:r>
    </w:p>
    <w:p w:rsidR="00B747E7" w:rsidRPr="00CE61D2" w:rsidRDefault="00B747E7" w:rsidP="000451FB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CE61D2" w:rsidRDefault="00B747E7" w:rsidP="000451FB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0451FB" w:rsidRDefault="00B747E7" w:rsidP="000451FB">
      <w:pPr>
        <w:pStyle w:val="a3"/>
        <w:numPr>
          <w:ilvl w:val="0"/>
          <w:numId w:val="12"/>
        </w:numPr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Can my parents visit me in Russia and on what terms?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Parents of students can enter the territory of the Russian Federation on a tourist visa. The Institute does not issue invitations to </w:t>
      </w:r>
      <w:r w:rsidR="00B232B6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members of the family of students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B232B6" w:rsidRPr="00B232B6" w:rsidRDefault="00B232B6" w:rsidP="000451FB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0451FB" w:rsidRDefault="00B747E7" w:rsidP="000451FB">
      <w:pPr>
        <w:pStyle w:val="a3"/>
        <w:numPr>
          <w:ilvl w:val="0"/>
          <w:numId w:val="12"/>
        </w:numPr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Is it possible to travel to other cities of Russia or abroad during the studying year?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During the study time, foreign students have the opportunity to leave the city only with the permission of the leadership of the </w:t>
      </w:r>
      <w:r w:rsidR="00E76C46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institute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 During the holidays, students have the legal right to travel across the Russian Federation and abroad.</w:t>
      </w:r>
    </w:p>
    <w:p w:rsidR="00B747E7" w:rsidRPr="00CE61D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E76C46" w:rsidRDefault="00B747E7" w:rsidP="00B271C8">
      <w:pPr>
        <w:pStyle w:val="a3"/>
        <w:numPr>
          <w:ilvl w:val="0"/>
          <w:numId w:val="1"/>
        </w:numPr>
        <w:spacing w:after="120" w:line="240" w:lineRule="auto"/>
        <w:ind w:left="0" w:firstLine="142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90232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EDUCATIONAL AND EXTRA EDUCATIONAL ACTIVITIES.</w:t>
      </w:r>
    </w:p>
    <w:p w:rsidR="00E76C46" w:rsidRPr="00CE61D2" w:rsidRDefault="00E76C46" w:rsidP="00E76C46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747E7" w:rsidRPr="00CE61D2" w:rsidRDefault="00B747E7" w:rsidP="000451FB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Does the university provide an active student life?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university hosts numerous events organized by activist students from student organizations. Also cultural, sports and recreational, creative events are organized several times a year. The events are carried out in after-study hours and are controlled by the university administration.</w:t>
      </w:r>
    </w:p>
    <w:p w:rsidR="00B747E7" w:rsidRPr="00A90232" w:rsidRDefault="00B747E7" w:rsidP="00B271C8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0451FB" w:rsidRDefault="00B747E7" w:rsidP="000451FB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t>Can I join student organization</w:t>
      </w:r>
      <w:r w:rsidR="00E76C46" w:rsidRPr="000451F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B747E7" w:rsidRPr="00CE61D2" w:rsidRDefault="00B747E7" w:rsidP="000451FB">
      <w:pPr>
        <w:pStyle w:val="a3"/>
        <w:spacing w:after="120" w:line="240" w:lineRule="auto"/>
        <w:ind w:left="862"/>
        <w:rPr>
          <w:rFonts w:ascii="Times New Roman" w:hAnsi="Times New Roman" w:cs="Times New Roman"/>
          <w:sz w:val="24"/>
          <w:szCs w:val="24"/>
          <w:lang w:val="en-US"/>
        </w:rPr>
      </w:pPr>
      <w:r w:rsidRPr="00CE61D2">
        <w:rPr>
          <w:rFonts w:ascii="Times New Roman" w:hAnsi="Times New Roman" w:cs="Times New Roman"/>
          <w:sz w:val="24"/>
          <w:szCs w:val="24"/>
          <w:lang w:val="en-US"/>
        </w:rPr>
        <w:t>Students can be members of the Student Council and the Volunteer Center.</w:t>
      </w:r>
    </w:p>
    <w:p w:rsidR="00B747E7" w:rsidRPr="00CE61D2" w:rsidRDefault="00B747E7" w:rsidP="000451FB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CE61D2" w:rsidRDefault="00B747E7" w:rsidP="000451FB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Do I have the opportunity to participate in scientific conferences?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Students can present their scientific work at conferences and scientific events on intra-university and international levels.</w:t>
      </w:r>
    </w:p>
    <w:p w:rsidR="00B747E7" w:rsidRPr="00CE61D2" w:rsidRDefault="00B747E7" w:rsidP="000451FB">
      <w:pPr>
        <w:pStyle w:val="a3"/>
        <w:spacing w:after="12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747E7" w:rsidRPr="000451FB" w:rsidRDefault="00B747E7" w:rsidP="000451FB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51FB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Is there an opportunity to internship abroad? Can I intern for free?</w:t>
      </w:r>
      <w:r w:rsidRPr="000451F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Foreign students have the opportunity to participate in foreign internships. Unfortunately, the vast majority of internships are </w:t>
      </w:r>
      <w:r w:rsidR="00B4056D"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conducted</w:t>
      </w:r>
      <w:r w:rsidRPr="000451F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at the expense of participants.</w:t>
      </w:r>
    </w:p>
    <w:p w:rsidR="00E76C46" w:rsidRPr="00E76C46" w:rsidRDefault="00E76C46" w:rsidP="00E76C46">
      <w:pPr>
        <w:ind w:firstLine="142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E76C46">
        <w:rPr>
          <w:rFonts w:ascii="Times New Roman" w:hAnsi="Times New Roman" w:cs="Times New Roman"/>
          <w:i/>
          <w:sz w:val="24"/>
          <w:szCs w:val="24"/>
          <w:lang w:val="en-US"/>
        </w:rPr>
        <w:t>Prepared by: members</w:t>
      </w:r>
      <w:r w:rsidRPr="00E76C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international department of the </w:t>
      </w:r>
      <w:proofErr w:type="spellStart"/>
      <w:r w:rsidRPr="00E76C46">
        <w:rPr>
          <w:rFonts w:ascii="Times New Roman" w:hAnsi="Times New Roman" w:cs="Times New Roman"/>
          <w:i/>
          <w:sz w:val="24"/>
          <w:szCs w:val="24"/>
          <w:lang w:val="en-US"/>
        </w:rPr>
        <w:t>Pyatigorsk</w:t>
      </w:r>
      <w:proofErr w:type="spellEnd"/>
      <w:r w:rsidRPr="00E76C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Medical and Pharmaceutical Institute</w:t>
      </w:r>
      <w:r w:rsidRPr="00E76C4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B747E7" w:rsidRPr="00E76C46" w:rsidRDefault="00E76C46" w:rsidP="00E76C46">
      <w:pPr>
        <w:ind w:firstLine="14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6C4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If you have not found the answers to your questions, please contact the international department of </w:t>
      </w:r>
      <w:r w:rsidRPr="00E76C46">
        <w:rPr>
          <w:rFonts w:ascii="Times New Roman" w:hAnsi="Times New Roman" w:cs="Times New Roman"/>
          <w:b/>
          <w:i/>
          <w:sz w:val="24"/>
          <w:szCs w:val="24"/>
          <w:lang w:val="en-US"/>
        </w:rPr>
        <w:t>PMPHI</w:t>
      </w:r>
      <w:r w:rsidRPr="00E76C46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We are located in the second dormitory,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on  the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second floor, room number 20. </w:t>
      </w:r>
      <w:r w:rsidRPr="00E76C4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Opening hours are Monday through Friday, from 9 a.m. to 5 p.m., or </w:t>
      </w:r>
      <w:r w:rsidRPr="00E76C4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send us an e-mail on the following address: </w:t>
      </w:r>
      <w:hyperlink r:id="rId6" w:history="1">
        <w:r w:rsidRPr="00E76C46">
          <w:rPr>
            <w:rStyle w:val="a4"/>
            <w:b/>
            <w:i/>
            <w:lang w:val="en-US"/>
          </w:rPr>
          <w:t>pfi.foreign@mail.ru</w:t>
        </w:r>
      </w:hyperlink>
      <w:r w:rsidRPr="00E76C46">
        <w:rPr>
          <w:rFonts w:ascii="Times New Roman" w:hAnsi="Times New Roman" w:cs="Times New Roman"/>
          <w:b/>
          <w:i/>
          <w:u w:val="single"/>
          <w:lang w:val="en-US"/>
        </w:rPr>
        <w:t>.</w:t>
      </w:r>
    </w:p>
    <w:p w:rsidR="005A48CE" w:rsidRPr="00CE61D2" w:rsidRDefault="00A90232" w:rsidP="00B271C8">
      <w:pPr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*A</w:t>
      </w:r>
      <w:r w:rsidRPr="00A9023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n outsourcing company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is an intermediary company, which collaborates with the university and assign</w:t>
      </w:r>
      <w:r w:rsidR="008F3F2A" w:rsidRPr="008F3F2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students to study at an educational institution.</w:t>
      </w:r>
    </w:p>
    <w:sectPr w:rsidR="005A48CE" w:rsidRPr="00CE61D2" w:rsidSect="005A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7D8"/>
    <w:multiLevelType w:val="hybridMultilevel"/>
    <w:tmpl w:val="55F4E238"/>
    <w:lvl w:ilvl="0" w:tplc="A07C48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AA522D"/>
    <w:multiLevelType w:val="hybridMultilevel"/>
    <w:tmpl w:val="9416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0CF3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5E54"/>
    <w:multiLevelType w:val="hybridMultilevel"/>
    <w:tmpl w:val="98F2ECC8"/>
    <w:lvl w:ilvl="0" w:tplc="4FCE1A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958"/>
    <w:multiLevelType w:val="hybridMultilevel"/>
    <w:tmpl w:val="AA52BE1A"/>
    <w:lvl w:ilvl="0" w:tplc="360CF3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5F067F"/>
    <w:multiLevelType w:val="hybridMultilevel"/>
    <w:tmpl w:val="DDB04434"/>
    <w:lvl w:ilvl="0" w:tplc="8BE8D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9979F3"/>
    <w:multiLevelType w:val="hybridMultilevel"/>
    <w:tmpl w:val="6930AC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D4363E7"/>
    <w:multiLevelType w:val="hybridMultilevel"/>
    <w:tmpl w:val="DAAA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24D95"/>
    <w:multiLevelType w:val="hybridMultilevel"/>
    <w:tmpl w:val="00623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201FF7"/>
    <w:multiLevelType w:val="hybridMultilevel"/>
    <w:tmpl w:val="65EED38C"/>
    <w:lvl w:ilvl="0" w:tplc="E00A6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F3F91"/>
    <w:multiLevelType w:val="hybridMultilevel"/>
    <w:tmpl w:val="BBDA1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9064AD"/>
    <w:multiLevelType w:val="hybridMultilevel"/>
    <w:tmpl w:val="4192CAB8"/>
    <w:lvl w:ilvl="0" w:tplc="C3CE2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8E354A"/>
    <w:multiLevelType w:val="hybridMultilevel"/>
    <w:tmpl w:val="3FD2E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2431AE"/>
    <w:multiLevelType w:val="multilevel"/>
    <w:tmpl w:val="2CEC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47E7"/>
    <w:rsid w:val="00043462"/>
    <w:rsid w:val="000451FB"/>
    <w:rsid w:val="001052B3"/>
    <w:rsid w:val="001519B4"/>
    <w:rsid w:val="00186633"/>
    <w:rsid w:val="00426D46"/>
    <w:rsid w:val="00450FF1"/>
    <w:rsid w:val="005A48CE"/>
    <w:rsid w:val="00642E08"/>
    <w:rsid w:val="008F3F2A"/>
    <w:rsid w:val="00A90232"/>
    <w:rsid w:val="00B14D0F"/>
    <w:rsid w:val="00B232B6"/>
    <w:rsid w:val="00B271C8"/>
    <w:rsid w:val="00B349AA"/>
    <w:rsid w:val="00B4056D"/>
    <w:rsid w:val="00B72ABB"/>
    <w:rsid w:val="00B747E7"/>
    <w:rsid w:val="00CE61D2"/>
    <w:rsid w:val="00E055E5"/>
    <w:rsid w:val="00E76C46"/>
    <w:rsid w:val="00F3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B747E7"/>
  </w:style>
  <w:style w:type="paragraph" w:styleId="a3">
    <w:name w:val="List Paragraph"/>
    <w:basedOn w:val="a"/>
    <w:uiPriority w:val="34"/>
    <w:qFormat/>
    <w:rsid w:val="00B747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7E7"/>
    <w:rPr>
      <w:color w:val="0000FF" w:themeColor="hyperlink"/>
      <w:u w:val="single"/>
    </w:rPr>
  </w:style>
  <w:style w:type="character" w:customStyle="1" w:styleId="3oh-">
    <w:name w:val="_3oh-"/>
    <w:basedOn w:val="a0"/>
    <w:rsid w:val="00E76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i.foreign@mail.ru" TargetMode="External"/><Relationship Id="rId5" Type="http://schemas.openxmlformats.org/officeDocument/2006/relationships/hyperlink" Target="https://www.pmedpharm.ru/sveden_e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Сенченко</dc:creator>
  <cp:lastModifiedBy>Сенченко</cp:lastModifiedBy>
  <cp:revision>13</cp:revision>
  <dcterms:created xsi:type="dcterms:W3CDTF">2020-02-05T07:36:00Z</dcterms:created>
  <dcterms:modified xsi:type="dcterms:W3CDTF">2020-02-07T10:17:00Z</dcterms:modified>
</cp:coreProperties>
</file>